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3DC" w14:textId="77777777" w:rsidR="008067B6" w:rsidRDefault="008067B6" w:rsidP="00D769EC">
      <w:pPr>
        <w:autoSpaceDE w:val="0"/>
        <w:autoSpaceDN w:val="0"/>
        <w:adjustRightInd w:val="0"/>
        <w:ind w:left="-540"/>
        <w:rPr>
          <w:rStyle w:val="Hyperlink"/>
          <w:b/>
          <w:bCs/>
          <w:i/>
          <w:iCs/>
          <w:color w:val="000000"/>
          <w:u w:val="none"/>
        </w:rPr>
      </w:pPr>
    </w:p>
    <w:p w14:paraId="01EA2DE5" w14:textId="77777777" w:rsidR="00123167" w:rsidRDefault="00123167" w:rsidP="00123167">
      <w:pPr>
        <w:autoSpaceDE w:val="0"/>
        <w:autoSpaceDN w:val="0"/>
        <w:adjustRightInd w:val="0"/>
        <w:ind w:left="-540"/>
        <w:jc w:val="center"/>
        <w:rPr>
          <w:rStyle w:val="Hyperlink"/>
          <w:color w:val="000000"/>
          <w:u w:val="none"/>
        </w:rPr>
      </w:pPr>
      <w:r w:rsidRPr="00123167">
        <w:rPr>
          <w:rStyle w:val="Hyperlink"/>
          <w:color w:val="000000"/>
          <w:u w:val="none"/>
        </w:rPr>
        <w:t xml:space="preserve">Please submit a completed </w:t>
      </w:r>
      <w:r>
        <w:rPr>
          <w:rStyle w:val="Hyperlink"/>
          <w:color w:val="000000"/>
          <w:u w:val="none"/>
        </w:rPr>
        <w:t>checklist</w:t>
      </w:r>
      <w:r w:rsidRPr="00123167">
        <w:rPr>
          <w:rStyle w:val="Hyperlink"/>
          <w:color w:val="000000"/>
          <w:u w:val="none"/>
        </w:rPr>
        <w:t xml:space="preserve"> with your proposa</w:t>
      </w:r>
      <w:r>
        <w:rPr>
          <w:rStyle w:val="Hyperlink"/>
          <w:color w:val="000000"/>
          <w:u w:val="none"/>
        </w:rPr>
        <w:t xml:space="preserve">l and </w:t>
      </w:r>
    </w:p>
    <w:p w14:paraId="0A27412A" w14:textId="2321ADE2" w:rsidR="0061692A" w:rsidRDefault="00123167" w:rsidP="00123167">
      <w:pPr>
        <w:autoSpaceDE w:val="0"/>
        <w:autoSpaceDN w:val="0"/>
        <w:adjustRightInd w:val="0"/>
        <w:ind w:left="-540"/>
        <w:jc w:val="center"/>
        <w:rPr>
          <w:rStyle w:val="Hyperlink"/>
          <w:b/>
          <w:bCs/>
          <w:i/>
          <w:iCs/>
          <w:color w:val="000000"/>
          <w:u w:val="none"/>
        </w:rPr>
      </w:pPr>
      <w:r>
        <w:rPr>
          <w:rStyle w:val="Hyperlink"/>
          <w:color w:val="000000"/>
          <w:u w:val="none"/>
        </w:rPr>
        <w:t>indicate the</w:t>
      </w:r>
      <w:r w:rsidR="0040619C">
        <w:rPr>
          <w:rStyle w:val="Hyperlink"/>
          <w:color w:val="000000"/>
          <w:u w:val="none"/>
        </w:rPr>
        <w:t xml:space="preserve"> page number of the </w:t>
      </w:r>
      <w:r>
        <w:rPr>
          <w:rStyle w:val="Hyperlink"/>
          <w:color w:val="000000"/>
          <w:u w:val="none"/>
        </w:rPr>
        <w:t xml:space="preserve">proposal </w:t>
      </w:r>
      <w:r w:rsidR="0040619C">
        <w:rPr>
          <w:rStyle w:val="Hyperlink"/>
          <w:color w:val="000000"/>
          <w:u w:val="none"/>
        </w:rPr>
        <w:t>or</w:t>
      </w:r>
      <w:r>
        <w:rPr>
          <w:rStyle w:val="Hyperlink"/>
          <w:color w:val="000000"/>
          <w:u w:val="none"/>
        </w:rPr>
        <w:t xml:space="preserve"> attachment where each key element is addressed.  </w:t>
      </w:r>
    </w:p>
    <w:p w14:paraId="363065DB" w14:textId="77777777" w:rsidR="0061692A" w:rsidRDefault="0061692A" w:rsidP="00D769EC">
      <w:pPr>
        <w:autoSpaceDE w:val="0"/>
        <w:autoSpaceDN w:val="0"/>
        <w:adjustRightInd w:val="0"/>
        <w:ind w:left="-540"/>
        <w:rPr>
          <w:rStyle w:val="Hyperlink"/>
          <w:b/>
          <w:bCs/>
          <w:i/>
          <w:iCs/>
          <w:color w:val="000000"/>
          <w:u w:val="none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8460"/>
        <w:gridCol w:w="2160"/>
      </w:tblGrid>
      <w:tr w:rsidR="00D769EC" w14:paraId="03CFA51B" w14:textId="77777777" w:rsidTr="00D918F6">
        <w:tc>
          <w:tcPr>
            <w:tcW w:w="8460" w:type="dxa"/>
            <w:vAlign w:val="center"/>
          </w:tcPr>
          <w:p w14:paraId="1EE754DD" w14:textId="2C36417E" w:rsidR="00D769EC" w:rsidRPr="00AA34D8" w:rsidRDefault="00D769EC" w:rsidP="00AA34D8">
            <w:pPr>
              <w:autoSpaceDE w:val="0"/>
              <w:autoSpaceDN w:val="0"/>
              <w:adjustRightInd w:val="0"/>
              <w:rPr>
                <w:rStyle w:val="Hyperlink"/>
                <w:color w:val="000000"/>
                <w:u w:val="none"/>
              </w:rPr>
            </w:pPr>
            <w:r w:rsidRPr="00AA34D8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Leadership Engagement</w:t>
            </w:r>
          </w:p>
        </w:tc>
        <w:tc>
          <w:tcPr>
            <w:tcW w:w="2160" w:type="dxa"/>
          </w:tcPr>
          <w:p w14:paraId="2BAF6C04" w14:textId="2A034091" w:rsidR="00D769EC" w:rsidRDefault="00D769EC" w:rsidP="00D769EC">
            <w:pPr>
              <w:autoSpaceDE w:val="0"/>
              <w:autoSpaceDN w:val="0"/>
              <w:adjustRightInd w:val="0"/>
              <w:jc w:val="center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Proposal </w:t>
            </w:r>
            <w:r w:rsidR="00D918F6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P</w:t>
            </w:r>
            <w:r w:rsidR="00DA627F" w:rsidRPr="00DA627F">
              <w:rPr>
                <w:rStyle w:val="Hyperlink"/>
                <w:b/>
                <w:bCs/>
                <w:i/>
                <w:iCs/>
                <w:color w:val="auto"/>
                <w:u w:val="none"/>
              </w:rPr>
              <w:t xml:space="preserve">age # 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or Attachment</w:t>
            </w:r>
            <w:r w:rsidR="00F95BE7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 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#  </w:t>
            </w:r>
          </w:p>
        </w:tc>
      </w:tr>
      <w:tr w:rsidR="00D769EC" w14:paraId="0688B42C" w14:textId="77777777" w:rsidTr="00D918F6">
        <w:trPr>
          <w:trHeight w:val="647"/>
        </w:trPr>
        <w:tc>
          <w:tcPr>
            <w:tcW w:w="8460" w:type="dxa"/>
          </w:tcPr>
          <w:p w14:paraId="3B44189B" w14:textId="66952D84" w:rsidR="00D769EC" w:rsidRPr="00D769EC" w:rsidRDefault="00D769EC" w:rsidP="00D769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Documentation of any required endorsement from the local school superintendent and/or local school board. </w:t>
            </w:r>
          </w:p>
        </w:tc>
        <w:tc>
          <w:tcPr>
            <w:tcW w:w="2160" w:type="dxa"/>
          </w:tcPr>
          <w:p w14:paraId="3E70C029" w14:textId="77777777" w:rsidR="00D769EC" w:rsidRDefault="00D769EC" w:rsidP="00D769EC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D769EC" w14:paraId="0F0CDD28" w14:textId="77777777" w:rsidTr="00D918F6">
        <w:trPr>
          <w:trHeight w:val="665"/>
        </w:trPr>
        <w:tc>
          <w:tcPr>
            <w:tcW w:w="8460" w:type="dxa"/>
          </w:tcPr>
          <w:p w14:paraId="711BF64C" w14:textId="720D1FA0" w:rsidR="00D769EC" w:rsidRPr="00D769EC" w:rsidRDefault="00D769EC" w:rsidP="00D769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Evidence of enthusiastic support of the principal of the </w:t>
            </w:r>
            <w:r w:rsidR="001C5CC3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school in</w:t>
            </w: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which the proposed SBHC is</w:t>
            </w:r>
            <w:r w:rsidR="00DA627F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</w:t>
            </w:r>
            <w:r w:rsidR="00DA627F" w:rsidRPr="00DA627F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to be</w:t>
            </w:r>
            <w:r w:rsidRPr="00DA627F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located.</w:t>
            </w:r>
          </w:p>
        </w:tc>
        <w:tc>
          <w:tcPr>
            <w:tcW w:w="2160" w:type="dxa"/>
          </w:tcPr>
          <w:p w14:paraId="58C4C029" w14:textId="77777777" w:rsidR="00D769EC" w:rsidRDefault="00D769EC" w:rsidP="00D769EC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D769EC" w14:paraId="4879FED4" w14:textId="77777777" w:rsidTr="00D918F6">
        <w:trPr>
          <w:trHeight w:val="800"/>
        </w:trPr>
        <w:tc>
          <w:tcPr>
            <w:tcW w:w="8460" w:type="dxa"/>
          </w:tcPr>
          <w:p w14:paraId="566B07AB" w14:textId="151E8815" w:rsidR="00D769EC" w:rsidRPr="00D769EC" w:rsidRDefault="00D769EC" w:rsidP="00D769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Identification of a primary</w:t>
            </w:r>
            <w:r w:rsidR="001C5CC3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SBHC</w:t>
            </w: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champion/coordinator </w:t>
            </w:r>
            <w:r w:rsidR="001C5CC3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employed by the applicant organization responsible for overseeing the day-to-day </w:t>
            </w:r>
            <w:r w:rsidR="00DA627F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SBHC</w:t>
            </w:r>
            <w:r w:rsidR="00DA627F">
              <w:rPr>
                <w:rStyle w:val="Hyperlink"/>
                <w:color w:val="000000"/>
                <w:u w:val="none"/>
              </w:rPr>
              <w:t xml:space="preserve"> </w:t>
            </w:r>
            <w:r w:rsidR="001C5CC3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operations </w:t>
            </w:r>
          </w:p>
        </w:tc>
        <w:tc>
          <w:tcPr>
            <w:tcW w:w="2160" w:type="dxa"/>
          </w:tcPr>
          <w:p w14:paraId="631219F0" w14:textId="77777777" w:rsidR="00D769EC" w:rsidRDefault="00D769EC" w:rsidP="00D769EC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1C5CC3" w14:paraId="68CDB46B" w14:textId="77777777" w:rsidTr="00D918F6">
        <w:trPr>
          <w:trHeight w:val="629"/>
        </w:trPr>
        <w:tc>
          <w:tcPr>
            <w:tcW w:w="8460" w:type="dxa"/>
          </w:tcPr>
          <w:p w14:paraId="2271B788" w14:textId="327BC10C" w:rsidR="001C5CC3" w:rsidRPr="00D769EC" w:rsidRDefault="001C5CC3" w:rsidP="00D769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Identification of a primary champion/coordinator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employed by the school to coordinate with the SBHC coordinator.  </w:t>
            </w:r>
          </w:p>
        </w:tc>
        <w:tc>
          <w:tcPr>
            <w:tcW w:w="2160" w:type="dxa"/>
          </w:tcPr>
          <w:p w14:paraId="7F9A9832" w14:textId="77777777" w:rsidR="001C5CC3" w:rsidRDefault="001C5CC3" w:rsidP="00D769EC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D769EC" w14:paraId="371D8F85" w14:textId="77777777" w:rsidTr="00D918F6">
        <w:trPr>
          <w:trHeight w:val="2087"/>
        </w:trPr>
        <w:tc>
          <w:tcPr>
            <w:tcW w:w="8460" w:type="dxa"/>
          </w:tcPr>
          <w:p w14:paraId="2BB4E4DB" w14:textId="522B66E1" w:rsidR="00D769EC" w:rsidRPr="00D769EC" w:rsidRDefault="00D769EC" w:rsidP="00D769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Memorandum of Agreement (</w:t>
            </w:r>
            <w:r w:rsidRPr="00D769EC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MOA</w:t>
            </w: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) between the school principal (and superintendent/school board, as necessary and appropriate) and Director of the applicant organization, delineating (</w:t>
            </w:r>
            <w:r w:rsidRPr="001C5CC3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at a minimum</w:t>
            </w:r>
            <w:r w:rsidRPr="00D769EC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) the purpose of the SBHC, students to be served, services to be provided at the SBHC, roles and responsibilities of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each organization with dates for specific deliverables, and the nature and methods of expected interactions between the two entities related to the children to be served</w:t>
            </w:r>
            <w:r w:rsidR="003B203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, </w:t>
            </w:r>
            <w:r w:rsidR="00DA627F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any </w:t>
            </w:r>
            <w:r w:rsidR="003B203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guidelines regarding parental consent. </w:t>
            </w:r>
          </w:p>
        </w:tc>
        <w:tc>
          <w:tcPr>
            <w:tcW w:w="2160" w:type="dxa"/>
          </w:tcPr>
          <w:p w14:paraId="55BC628D" w14:textId="77777777" w:rsidR="00D769EC" w:rsidRDefault="00D769EC" w:rsidP="00D769EC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</w:tbl>
    <w:p w14:paraId="25BC9747" w14:textId="77777777" w:rsidR="00D769EC" w:rsidRDefault="00D769EC" w:rsidP="00D769EC">
      <w:pPr>
        <w:autoSpaceDE w:val="0"/>
        <w:autoSpaceDN w:val="0"/>
        <w:adjustRightInd w:val="0"/>
        <w:rPr>
          <w:rStyle w:val="Hyperlink"/>
          <w:b/>
          <w:bCs/>
          <w:i/>
          <w:iCs/>
          <w:color w:val="000000"/>
          <w:u w:val="none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8460"/>
        <w:gridCol w:w="2160"/>
      </w:tblGrid>
      <w:tr w:rsidR="008067B6" w14:paraId="121031DB" w14:textId="77777777" w:rsidTr="00D918F6">
        <w:tc>
          <w:tcPr>
            <w:tcW w:w="8460" w:type="dxa"/>
            <w:vAlign w:val="center"/>
          </w:tcPr>
          <w:p w14:paraId="48E43BDE" w14:textId="226D285D" w:rsidR="008067B6" w:rsidRP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  <w:r w:rsidRPr="00543654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Clinic Operations</w:t>
            </w:r>
          </w:p>
        </w:tc>
        <w:tc>
          <w:tcPr>
            <w:tcW w:w="2160" w:type="dxa"/>
          </w:tcPr>
          <w:p w14:paraId="76D986AA" w14:textId="776E45E7" w:rsidR="008067B6" w:rsidRDefault="00AA34D8" w:rsidP="002D6B67">
            <w:pPr>
              <w:autoSpaceDE w:val="0"/>
              <w:autoSpaceDN w:val="0"/>
              <w:adjustRightInd w:val="0"/>
              <w:jc w:val="center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Proposal </w:t>
            </w:r>
            <w:r w:rsidR="00D918F6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P</w:t>
            </w:r>
            <w:r w:rsidR="00DA627F" w:rsidRPr="00DA627F">
              <w:rPr>
                <w:rStyle w:val="Hyperlink"/>
                <w:b/>
                <w:bCs/>
                <w:i/>
                <w:iCs/>
                <w:color w:val="auto"/>
                <w:u w:val="none"/>
              </w:rPr>
              <w:t xml:space="preserve">age # </w:t>
            </w:r>
            <w:r w:rsidRPr="00DA627F">
              <w:rPr>
                <w:rStyle w:val="Hyperlink"/>
                <w:b/>
                <w:bCs/>
                <w:i/>
                <w:iCs/>
                <w:color w:val="auto"/>
                <w:u w:val="none"/>
              </w:rPr>
              <w:t xml:space="preserve">or 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Attachment #  </w:t>
            </w:r>
          </w:p>
        </w:tc>
      </w:tr>
      <w:tr w:rsidR="008067B6" w14:paraId="6917F80F" w14:textId="77777777" w:rsidTr="00D918F6">
        <w:trPr>
          <w:trHeight w:val="935"/>
        </w:trPr>
        <w:tc>
          <w:tcPr>
            <w:tcW w:w="8460" w:type="dxa"/>
          </w:tcPr>
          <w:p w14:paraId="1255490C" w14:textId="267BBBC8" w:rsidR="008067B6" w:rsidRPr="008067B6" w:rsidRDefault="00DA627F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H</w:t>
            </w:r>
            <w:r w:rsidR="008067B6" w:rsidRPr="008067B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ours of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SBHC’s </w:t>
            </w:r>
            <w:r w:rsidR="008067B6" w:rsidRPr="008067B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operation </w:t>
            </w:r>
            <w:r w:rsidR="008067B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and </w:t>
            </w:r>
            <w:r w:rsidR="008067B6" w:rsidRPr="008067B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availability of services during non-school hours (</w:t>
            </w:r>
            <w:r w:rsidR="008067B6" w:rsidRPr="008067B6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e.g.,</w:t>
            </w:r>
            <w:r w:rsidR="008067B6" w:rsidRPr="008067B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</w:t>
            </w:r>
            <w:r w:rsidR="008067B6" w:rsidRPr="008067B6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before, during and/or after school hours, holidays, summer?</w:t>
            </w:r>
            <w:r w:rsidR="008067B6" w:rsidRPr="008067B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160" w:type="dxa"/>
          </w:tcPr>
          <w:p w14:paraId="6CE00475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8067B6" w14:paraId="080C9075" w14:textId="77777777" w:rsidTr="00D918F6">
        <w:trPr>
          <w:trHeight w:val="512"/>
        </w:trPr>
        <w:tc>
          <w:tcPr>
            <w:tcW w:w="8460" w:type="dxa"/>
          </w:tcPr>
          <w:p w14:paraId="57944585" w14:textId="2EC0AF69" w:rsidR="008067B6" w:rsidRPr="008067B6" w:rsidRDefault="008067B6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Clear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description of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the 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scope of services </w:t>
            </w:r>
            <w:r w:rsidR="00AA34D8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to be provided 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(</w:t>
            </w:r>
            <w:r w:rsidRPr="00543654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BH and other</w:t>
            </w:r>
            <w:proofErr w:type="gramStart"/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) 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.</w:t>
            </w:r>
            <w:proofErr w:type="gramEnd"/>
          </w:p>
        </w:tc>
        <w:tc>
          <w:tcPr>
            <w:tcW w:w="2160" w:type="dxa"/>
          </w:tcPr>
          <w:p w14:paraId="6E3BD2A2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8067B6" w14:paraId="5A2CE924" w14:textId="77777777" w:rsidTr="00D918F6">
        <w:trPr>
          <w:trHeight w:val="616"/>
        </w:trPr>
        <w:tc>
          <w:tcPr>
            <w:tcW w:w="8460" w:type="dxa"/>
          </w:tcPr>
          <w:p w14:paraId="650E98DE" w14:textId="1AE67893" w:rsidR="008067B6" w:rsidRPr="008067B6" w:rsidRDefault="00DA627F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T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ype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and number 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of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each type of </w:t>
            </w:r>
            <w:r w:rsidR="008067B6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staff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who will work at SBHC</w:t>
            </w:r>
            <w:r w:rsidR="008067B6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(</w:t>
            </w:r>
            <w:r w:rsidR="008067B6" w:rsidRPr="00543654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licensed BH professional? pre-licensee?</w:t>
            </w:r>
            <w:r w:rsidR="008067B6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)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160" w:type="dxa"/>
          </w:tcPr>
          <w:p w14:paraId="7C0B579C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8067B6" w14:paraId="78B9300A" w14:textId="77777777" w:rsidTr="00D918F6">
        <w:trPr>
          <w:trHeight w:val="692"/>
        </w:trPr>
        <w:tc>
          <w:tcPr>
            <w:tcW w:w="8460" w:type="dxa"/>
          </w:tcPr>
          <w:p w14:paraId="3085D25C" w14:textId="6DAE8D38" w:rsidR="008067B6" w:rsidRPr="008067B6" w:rsidRDefault="008067B6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Explanation of h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ow </w:t>
            </w:r>
            <w:r w:rsidR="009737FD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services will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be provided to non- or limited English-speaking children</w:t>
            </w:r>
            <w:r w:rsidR="003B203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, if applicable. </w:t>
            </w:r>
          </w:p>
        </w:tc>
        <w:tc>
          <w:tcPr>
            <w:tcW w:w="2160" w:type="dxa"/>
          </w:tcPr>
          <w:p w14:paraId="18E3DD9B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</w:tbl>
    <w:p w14:paraId="0BA1473A" w14:textId="77777777" w:rsidR="00D769EC" w:rsidRPr="00F95BE7" w:rsidRDefault="00D769EC" w:rsidP="00F95BE7">
      <w:pPr>
        <w:autoSpaceDE w:val="0"/>
        <w:autoSpaceDN w:val="0"/>
        <w:adjustRightInd w:val="0"/>
        <w:rPr>
          <w:rStyle w:val="Hyperlink"/>
          <w:color w:val="000000"/>
          <w:u w:val="none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8460"/>
        <w:gridCol w:w="2160"/>
      </w:tblGrid>
      <w:tr w:rsidR="008067B6" w14:paraId="2A27D881" w14:textId="77777777" w:rsidTr="00D918F6">
        <w:tc>
          <w:tcPr>
            <w:tcW w:w="8460" w:type="dxa"/>
            <w:vAlign w:val="center"/>
          </w:tcPr>
          <w:p w14:paraId="419C9318" w14:textId="1AE88F7A" w:rsidR="008067B6" w:rsidRP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  <w:r w:rsidRPr="00543654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SBHC Logistics</w:t>
            </w:r>
          </w:p>
        </w:tc>
        <w:tc>
          <w:tcPr>
            <w:tcW w:w="2160" w:type="dxa"/>
          </w:tcPr>
          <w:p w14:paraId="2EC3D750" w14:textId="0D7D0772" w:rsidR="008067B6" w:rsidRDefault="00AA34D8" w:rsidP="002D6B67">
            <w:pPr>
              <w:autoSpaceDE w:val="0"/>
              <w:autoSpaceDN w:val="0"/>
              <w:adjustRightInd w:val="0"/>
              <w:jc w:val="center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Proposal </w:t>
            </w:r>
            <w:r w:rsidR="00D918F6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P</w:t>
            </w:r>
            <w:r w:rsidR="00DA627F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age # 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or Attachment #  </w:t>
            </w:r>
          </w:p>
        </w:tc>
      </w:tr>
      <w:tr w:rsidR="008067B6" w14:paraId="35483860" w14:textId="77777777" w:rsidTr="00D918F6">
        <w:trPr>
          <w:trHeight w:val="643"/>
        </w:trPr>
        <w:tc>
          <w:tcPr>
            <w:tcW w:w="8460" w:type="dxa"/>
          </w:tcPr>
          <w:p w14:paraId="55A9886E" w14:textId="77E5DAD1" w:rsidR="008067B6" w:rsidRPr="008067B6" w:rsidRDefault="008067B6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Description of where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the SBHC </w:t>
            </w:r>
            <w:r w:rsidR="003B203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will be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located (</w:t>
            </w:r>
            <w:r w:rsidRPr="00543654">
              <w:rPr>
                <w:rStyle w:val="Hyperlink"/>
                <w:rFonts w:ascii="Arial" w:hAnsi="Arial" w:cs="Arial"/>
                <w:i/>
                <w:iCs/>
                <w:color w:val="000000"/>
                <w:sz w:val="24"/>
                <w:szCs w:val="24"/>
                <w:u w:val="none"/>
              </w:rPr>
              <w:t>in school, attached to school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)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160" w:type="dxa"/>
          </w:tcPr>
          <w:p w14:paraId="63E3CD4F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8067B6" w14:paraId="02CDE373" w14:textId="77777777" w:rsidTr="00D918F6">
        <w:trPr>
          <w:trHeight w:val="800"/>
        </w:trPr>
        <w:tc>
          <w:tcPr>
            <w:tcW w:w="8460" w:type="dxa"/>
          </w:tcPr>
          <w:p w14:paraId="2EA78B33" w14:textId="272CEF9E" w:rsidR="008067B6" w:rsidRPr="008067B6" w:rsidRDefault="008067B6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Summary of any modification</w:t>
            </w:r>
            <w:r w:rsidR="00F77D9F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to the 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space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that will be required or confirmation that none are needed. </w:t>
            </w:r>
          </w:p>
        </w:tc>
        <w:tc>
          <w:tcPr>
            <w:tcW w:w="2160" w:type="dxa"/>
          </w:tcPr>
          <w:p w14:paraId="6C93F293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8067B6" w14:paraId="1CEAC017" w14:textId="77777777" w:rsidTr="00D918F6">
        <w:trPr>
          <w:trHeight w:val="431"/>
        </w:trPr>
        <w:tc>
          <w:tcPr>
            <w:tcW w:w="8460" w:type="dxa"/>
          </w:tcPr>
          <w:p w14:paraId="2F9B5193" w14:textId="4FA3CBA9" w:rsidR="008067B6" w:rsidRPr="008067B6" w:rsidRDefault="008067B6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Confirmation of sufficient WIFI access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to </w:t>
            </w:r>
            <w:r w:rsidR="00242E22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operate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the SBHC</w:t>
            </w:r>
            <w:r w:rsidR="00F77D9F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to its EHR.</w:t>
            </w:r>
          </w:p>
        </w:tc>
        <w:tc>
          <w:tcPr>
            <w:tcW w:w="2160" w:type="dxa"/>
          </w:tcPr>
          <w:p w14:paraId="749540FB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8067B6" w14:paraId="76C36766" w14:textId="77777777" w:rsidTr="00D918F6">
        <w:trPr>
          <w:trHeight w:val="782"/>
        </w:trPr>
        <w:tc>
          <w:tcPr>
            <w:tcW w:w="8460" w:type="dxa"/>
          </w:tcPr>
          <w:p w14:paraId="74D80333" w14:textId="74760E38" w:rsidR="008067B6" w:rsidRPr="008067B6" w:rsidRDefault="008067B6" w:rsidP="008067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Description of clinic 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location and </w:t>
            </w:r>
            <w:r w:rsidR="00242E22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set-up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to 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maintain student confidentiality and avoid stigma</w:t>
            </w:r>
            <w:r w:rsidR="00242E22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160" w:type="dxa"/>
          </w:tcPr>
          <w:p w14:paraId="1DFFBB5C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</w:tbl>
    <w:p w14:paraId="6F5F2EEB" w14:textId="77777777" w:rsidR="00D918F6" w:rsidRDefault="00D918F6">
      <w:r>
        <w:br w:type="page"/>
      </w:r>
    </w:p>
    <w:tbl>
      <w:tblPr>
        <w:tblStyle w:val="TableGrid"/>
        <w:tblW w:w="10625" w:type="dxa"/>
        <w:tblInd w:w="-545" w:type="dxa"/>
        <w:tblLook w:val="04A0" w:firstRow="1" w:lastRow="0" w:firstColumn="1" w:lastColumn="0" w:noHBand="0" w:noVBand="1"/>
      </w:tblPr>
      <w:tblGrid>
        <w:gridCol w:w="8460"/>
        <w:gridCol w:w="2165"/>
      </w:tblGrid>
      <w:tr w:rsidR="00D918F6" w14:paraId="49AF64FE" w14:textId="77777777" w:rsidTr="00D918F6">
        <w:trPr>
          <w:trHeight w:val="701"/>
        </w:trPr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23222" w14:textId="4E996FB4" w:rsidR="00D918F6" w:rsidRDefault="00D918F6" w:rsidP="00D918F6">
            <w:pPr>
              <w:pStyle w:val="ListParagraph"/>
              <w:autoSpaceDE w:val="0"/>
              <w:autoSpaceDN w:val="0"/>
              <w:adjustRightInd w:val="0"/>
              <w:ind w:left="341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A1333" w14:textId="77777777" w:rsidR="00D918F6" w:rsidRDefault="00D918F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D918F6" w14:paraId="248E9F2E" w14:textId="77777777" w:rsidTr="00D918F6">
        <w:trPr>
          <w:trHeight w:val="436"/>
        </w:trPr>
        <w:tc>
          <w:tcPr>
            <w:tcW w:w="8460" w:type="dxa"/>
            <w:tcBorders>
              <w:top w:val="single" w:sz="4" w:space="0" w:color="auto"/>
            </w:tcBorders>
            <w:vAlign w:val="center"/>
          </w:tcPr>
          <w:p w14:paraId="1E222A04" w14:textId="4A004BDB" w:rsidR="00D918F6" w:rsidRDefault="00D918F6" w:rsidP="00D918F6">
            <w:pPr>
              <w:autoSpaceDE w:val="0"/>
              <w:autoSpaceDN w:val="0"/>
              <w:adjustRightInd w:val="0"/>
              <w:rPr>
                <w:rStyle w:val="Hyperlink"/>
                <w:color w:val="000000"/>
                <w:u w:val="none"/>
              </w:rPr>
            </w:pPr>
            <w:r w:rsidRPr="00543654"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SBHC Logistics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, Continued 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1FB2AC74" w14:textId="51574C6D" w:rsidR="00D918F6" w:rsidRDefault="00D918F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Proposal 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>P</w:t>
            </w:r>
            <w:r>
              <w:rPr>
                <w:rStyle w:val="Hyperlink"/>
                <w:b/>
                <w:bCs/>
                <w:i/>
                <w:iCs/>
                <w:color w:val="000000"/>
                <w:u w:val="none"/>
              </w:rPr>
              <w:t xml:space="preserve">age # or Attachment #  </w:t>
            </w:r>
          </w:p>
        </w:tc>
      </w:tr>
      <w:tr w:rsidR="008067B6" w14:paraId="2C143FC3" w14:textId="77777777" w:rsidTr="00D918F6">
        <w:trPr>
          <w:trHeight w:val="701"/>
        </w:trPr>
        <w:tc>
          <w:tcPr>
            <w:tcW w:w="8460" w:type="dxa"/>
          </w:tcPr>
          <w:p w14:paraId="536858CF" w14:textId="2ED33EF7" w:rsidR="008067B6" w:rsidRPr="00F95BE7" w:rsidRDefault="00242E22" w:rsidP="00F95B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Description of the 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SBHC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’s access </w:t>
            </w:r>
            <w:r w:rsidR="00F77D9F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to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and use of 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the applicant’s </w:t>
            </w:r>
            <w:r w:rsidR="003B2036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EHR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and a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ny IT security issues to be addressed with </w:t>
            </w:r>
            <w:r w:rsidR="00F95BE7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the 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school/district internet system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165" w:type="dxa"/>
          </w:tcPr>
          <w:p w14:paraId="6523DE4E" w14:textId="77777777" w:rsidR="008067B6" w:rsidRDefault="008067B6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F95BE7" w14:paraId="4F05878F" w14:textId="77777777" w:rsidTr="00D918F6">
        <w:trPr>
          <w:trHeight w:val="557"/>
        </w:trPr>
        <w:tc>
          <w:tcPr>
            <w:tcW w:w="8460" w:type="dxa"/>
          </w:tcPr>
          <w:p w14:paraId="3D141B17" w14:textId="024A2601" w:rsidR="00F95BE7" w:rsidRPr="00F95BE7" w:rsidRDefault="00F95BE7" w:rsidP="00F95B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Description of 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BH staff recruitment strategy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and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t</w:t>
            </w:r>
            <w:r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imeline to hire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165" w:type="dxa"/>
          </w:tcPr>
          <w:p w14:paraId="476028AE" w14:textId="77777777" w:rsidR="00F95BE7" w:rsidRDefault="00F95BE7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  <w:tr w:rsidR="00F95BE7" w14:paraId="6AE4EB20" w14:textId="77777777" w:rsidTr="00D918F6">
        <w:trPr>
          <w:trHeight w:val="710"/>
        </w:trPr>
        <w:tc>
          <w:tcPr>
            <w:tcW w:w="8460" w:type="dxa"/>
          </w:tcPr>
          <w:p w14:paraId="079DB412" w14:textId="4E6FE76C" w:rsidR="00F95BE7" w:rsidRPr="00F95BE7" w:rsidRDefault="00F77D9F" w:rsidP="00F95BE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1" w:hanging="270"/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Description</w:t>
            </w:r>
            <w:r w:rsidR="00F95BE7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of the a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dministrative support </w:t>
            </w:r>
            <w:r w:rsidR="00F95BE7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that will handle 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>scheduling</w:t>
            </w:r>
            <w:r w:rsidR="009737FD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patient visits</w:t>
            </w:r>
            <w:r w:rsidR="00F95BE7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and</w:t>
            </w:r>
            <w:r w:rsidR="00F95BE7" w:rsidRPr="00543654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 </w:t>
            </w:r>
            <w:r w:rsidR="00F95BE7">
              <w:rPr>
                <w:rStyle w:val="Hyperlink"/>
                <w:rFonts w:ascii="Arial" w:hAnsi="Arial" w:cs="Arial"/>
                <w:color w:val="000000"/>
                <w:sz w:val="24"/>
                <w:szCs w:val="24"/>
                <w:u w:val="none"/>
              </w:rPr>
              <w:t xml:space="preserve">billing. </w:t>
            </w:r>
          </w:p>
        </w:tc>
        <w:tc>
          <w:tcPr>
            <w:tcW w:w="2165" w:type="dxa"/>
          </w:tcPr>
          <w:p w14:paraId="4811B8A2" w14:textId="77777777" w:rsidR="00F95BE7" w:rsidRDefault="00F95BE7" w:rsidP="002D6B67">
            <w:pPr>
              <w:autoSpaceDE w:val="0"/>
              <w:autoSpaceDN w:val="0"/>
              <w:adjustRightInd w:val="0"/>
              <w:rPr>
                <w:rStyle w:val="Hyperlink"/>
                <w:b/>
                <w:bCs/>
                <w:i/>
                <w:iCs/>
                <w:color w:val="000000"/>
                <w:u w:val="none"/>
              </w:rPr>
            </w:pPr>
          </w:p>
        </w:tc>
      </w:tr>
    </w:tbl>
    <w:p w14:paraId="4CCFF87B" w14:textId="77777777" w:rsidR="008067B6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7C02C12D" w14:textId="77777777" w:rsidR="008067B6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43625667" w14:textId="77777777" w:rsidR="008067B6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53B89735" w14:textId="77777777" w:rsidR="008067B6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35014EB1" w14:textId="77777777" w:rsidR="008067B6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16DA9926" w14:textId="77777777" w:rsidR="008067B6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2B0A4369" w14:textId="77777777" w:rsidR="008067B6" w:rsidRPr="00543654" w:rsidRDefault="008067B6" w:rsidP="00D769EC">
      <w:pPr>
        <w:pStyle w:val="ListParagraph"/>
        <w:autoSpaceDE w:val="0"/>
        <w:autoSpaceDN w:val="0"/>
        <w:adjustRightInd w:val="0"/>
        <w:ind w:left="630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44E3CF61" w14:textId="77777777" w:rsidR="009A177D" w:rsidRDefault="009A177D"/>
    <w:sectPr w:rsidR="009A177D" w:rsidSect="0040619C">
      <w:headerReference w:type="default" r:id="rId7"/>
      <w:pgSz w:w="12240" w:h="15840"/>
      <w:pgMar w:top="445" w:right="1080" w:bottom="5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9A6E" w14:textId="77777777" w:rsidR="008A1EB2" w:rsidRDefault="008A1EB2" w:rsidP="0061692A">
      <w:r>
        <w:separator/>
      </w:r>
    </w:p>
  </w:endnote>
  <w:endnote w:type="continuationSeparator" w:id="0">
    <w:p w14:paraId="1F6A6D00" w14:textId="77777777" w:rsidR="008A1EB2" w:rsidRDefault="008A1EB2" w:rsidP="006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451E" w14:textId="77777777" w:rsidR="008A1EB2" w:rsidRDefault="008A1EB2" w:rsidP="0061692A">
      <w:r>
        <w:separator/>
      </w:r>
    </w:p>
  </w:footnote>
  <w:footnote w:type="continuationSeparator" w:id="0">
    <w:p w14:paraId="474CC6CD" w14:textId="77777777" w:rsidR="008A1EB2" w:rsidRDefault="008A1EB2" w:rsidP="006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61D0" w14:textId="073534B6" w:rsidR="0061692A" w:rsidRDefault="0061692A" w:rsidP="0040619C">
    <w:pPr>
      <w:pStyle w:val="Header"/>
      <w:tabs>
        <w:tab w:val="left" w:pos="270"/>
      </w:tabs>
    </w:pPr>
    <w:r>
      <w:ptab w:relativeTo="margin" w:alignment="center" w:leader="none"/>
    </w:r>
    <w:r w:rsidR="00470589" w:rsidRPr="00470589">
      <w:rPr>
        <w:rStyle w:val="Hyperlink"/>
        <w:b/>
        <w:bCs/>
        <w:color w:val="000000"/>
        <w:sz w:val="32"/>
        <w:szCs w:val="32"/>
        <w:u w:val="none"/>
      </w:rPr>
      <w:t xml:space="preserve"> </w:t>
    </w:r>
    <w:r w:rsidR="00470589">
      <w:rPr>
        <w:rStyle w:val="Hyperlink"/>
        <w:b/>
        <w:bCs/>
        <w:color w:val="000000"/>
        <w:sz w:val="32"/>
        <w:szCs w:val="32"/>
        <w:u w:val="none"/>
      </w:rPr>
      <w:t>SBHC</w:t>
    </w:r>
    <w:r w:rsidR="00470589">
      <w:rPr>
        <w:rStyle w:val="Hyperlink"/>
        <w:b/>
        <w:bCs/>
        <w:color w:val="000000"/>
        <w:sz w:val="32"/>
        <w:szCs w:val="32"/>
        <w:u w:val="none"/>
      </w:rPr>
      <w:t xml:space="preserve"> </w:t>
    </w:r>
    <w:r w:rsidRPr="0061692A">
      <w:rPr>
        <w:rStyle w:val="Hyperlink"/>
        <w:b/>
        <w:bCs/>
        <w:color w:val="000000"/>
        <w:sz w:val="32"/>
        <w:szCs w:val="32"/>
        <w:u w:val="none"/>
      </w:rPr>
      <w:t xml:space="preserve">Key Elements </w:t>
    </w:r>
    <w:r w:rsidR="0040619C">
      <w:rPr>
        <w:rStyle w:val="Hyperlink"/>
        <w:b/>
        <w:bCs/>
        <w:color w:val="000000"/>
        <w:sz w:val="32"/>
        <w:szCs w:val="32"/>
        <w:u w:val="none"/>
      </w:rPr>
      <w:t>Required for</w:t>
    </w:r>
    <w:r w:rsidRPr="0061692A">
      <w:rPr>
        <w:rStyle w:val="Hyperlink"/>
        <w:b/>
        <w:bCs/>
        <w:i/>
        <w:iCs/>
        <w:color w:val="000000"/>
        <w:sz w:val="32"/>
        <w:szCs w:val="32"/>
        <w:u w:val="none"/>
      </w:rPr>
      <w:t xml:space="preserve"> Nurture Now </w:t>
    </w:r>
    <w:r w:rsidRPr="0061692A">
      <w:rPr>
        <w:rStyle w:val="Hyperlink"/>
        <w:b/>
        <w:bCs/>
        <w:color w:val="000000"/>
        <w:sz w:val="32"/>
        <w:szCs w:val="32"/>
        <w:u w:val="none"/>
      </w:rPr>
      <w:t>Proposals</w:t>
    </w:r>
    <w:r>
      <w:rPr>
        <w:rStyle w:val="Hyperlink"/>
        <w:b/>
        <w:bCs/>
        <w:color w:val="000000"/>
        <w:sz w:val="32"/>
        <w:szCs w:val="32"/>
        <w:u w:val="none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F1D"/>
    <w:multiLevelType w:val="hybridMultilevel"/>
    <w:tmpl w:val="5D90C310"/>
    <w:lvl w:ilvl="0" w:tplc="D24E6F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028"/>
    <w:multiLevelType w:val="hybridMultilevel"/>
    <w:tmpl w:val="CB286CBC"/>
    <w:lvl w:ilvl="0" w:tplc="AA3AE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623E"/>
    <w:multiLevelType w:val="hybridMultilevel"/>
    <w:tmpl w:val="4AA2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6B1B"/>
    <w:multiLevelType w:val="hybridMultilevel"/>
    <w:tmpl w:val="2BE66E6E"/>
    <w:lvl w:ilvl="0" w:tplc="D24E6F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237B"/>
    <w:multiLevelType w:val="hybridMultilevel"/>
    <w:tmpl w:val="D43C7BB4"/>
    <w:lvl w:ilvl="0" w:tplc="AA3AE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641A6"/>
    <w:multiLevelType w:val="hybridMultilevel"/>
    <w:tmpl w:val="6D8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02878">
    <w:abstractNumId w:val="3"/>
  </w:num>
  <w:num w:numId="2" w16cid:durableId="215357885">
    <w:abstractNumId w:val="2"/>
  </w:num>
  <w:num w:numId="3" w16cid:durableId="503280135">
    <w:abstractNumId w:val="5"/>
  </w:num>
  <w:num w:numId="4" w16cid:durableId="1786657153">
    <w:abstractNumId w:val="4"/>
  </w:num>
  <w:num w:numId="5" w16cid:durableId="2137604410">
    <w:abstractNumId w:val="1"/>
  </w:num>
  <w:num w:numId="6" w16cid:durableId="69947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ytDQyMjA1MDGyNDRU0lEKTi0uzszPAykwrgUAiWIlnSwAAAA="/>
  </w:docVars>
  <w:rsids>
    <w:rsidRoot w:val="00D769EC"/>
    <w:rsid w:val="000234D6"/>
    <w:rsid w:val="00123167"/>
    <w:rsid w:val="001C5CC3"/>
    <w:rsid w:val="00242E22"/>
    <w:rsid w:val="003B2036"/>
    <w:rsid w:val="0040619C"/>
    <w:rsid w:val="00470589"/>
    <w:rsid w:val="00546862"/>
    <w:rsid w:val="0061692A"/>
    <w:rsid w:val="008067B6"/>
    <w:rsid w:val="008A1EB2"/>
    <w:rsid w:val="009737FD"/>
    <w:rsid w:val="009A177D"/>
    <w:rsid w:val="00AA34D8"/>
    <w:rsid w:val="00D769EC"/>
    <w:rsid w:val="00D918F6"/>
    <w:rsid w:val="00DA627F"/>
    <w:rsid w:val="00F77D9F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14BEC"/>
  <w15:chartTrackingRefBased/>
  <w15:docId w15:val="{BA1934F6-596C-4F25-BB9F-BB7FED78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EC"/>
    <w:pPr>
      <w:spacing w:after="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9E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769EC"/>
    <w:pPr>
      <w:ind w:left="720"/>
    </w:pPr>
    <w:rPr>
      <w:rFonts w:ascii="Calibri" w:hAnsi="Calibri" w:cs="Times New Roman"/>
      <w:sz w:val="22"/>
      <w:szCs w:val="22"/>
    </w:rPr>
  </w:style>
  <w:style w:type="character" w:customStyle="1" w:styleId="cf01">
    <w:name w:val="cf01"/>
    <w:basedOn w:val="DefaultParagraphFont"/>
    <w:rsid w:val="00D769E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769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769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9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6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9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2106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Rees</dc:creator>
  <cp:keywords/>
  <dc:description/>
  <cp:lastModifiedBy>Rachel Rees</cp:lastModifiedBy>
  <cp:revision>12</cp:revision>
  <dcterms:created xsi:type="dcterms:W3CDTF">2023-12-16T16:53:00Z</dcterms:created>
  <dcterms:modified xsi:type="dcterms:W3CDTF">2023-12-18T20:39:00Z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b82b3435-4862-471a-8f62-d27a9a3666dd</vt:lpwstr>
  </property>
</Properties>
</file>